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51385CDA"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126075">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8A498A4" w:rsidR="00F23FC9" w:rsidRPr="000F6082" w:rsidRDefault="00F23FC9" w:rsidP="00F23FC9">
      <w:pPr>
        <w:spacing w:before="240"/>
        <w:jc w:val="center"/>
        <w:rPr>
          <w:rFonts w:ascii="Arial" w:hAnsi="Arial" w:cs="Arial"/>
          <w:b/>
          <w:bCs/>
          <w:caps/>
          <w:color w:val="214F87"/>
          <w:sz w:val="44"/>
          <w:szCs w:val="44"/>
        </w:rPr>
      </w:pPr>
      <w:r w:rsidRPr="005E081F">
        <w:rPr>
          <w:rFonts w:ascii="Arial" w:hAnsi="Arial" w:cs="Arial"/>
          <w:b/>
          <w:bCs/>
          <w:caps/>
          <w:color w:val="214F87"/>
          <w:sz w:val="44"/>
          <w:szCs w:val="44"/>
        </w:rPr>
        <w:t xml:space="preserve">PŘÍLOHA </w:t>
      </w:r>
      <w:proofErr w:type="gramStart"/>
      <w:r w:rsidR="000F6082" w:rsidRPr="005E081F">
        <w:rPr>
          <w:rFonts w:ascii="Arial" w:hAnsi="Arial" w:cs="Arial"/>
          <w:b/>
          <w:bCs/>
          <w:caps/>
          <w:color w:val="214F87"/>
          <w:sz w:val="44"/>
          <w:szCs w:val="44"/>
        </w:rPr>
        <w:t>3</w:t>
      </w:r>
      <w:r w:rsidR="00AF393A">
        <w:rPr>
          <w:rFonts w:ascii="Arial" w:hAnsi="Arial" w:cs="Arial"/>
          <w:b/>
          <w:bCs/>
          <w:caps/>
          <w:color w:val="214F87"/>
          <w:sz w:val="44"/>
          <w:szCs w:val="44"/>
        </w:rPr>
        <w:t>D</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5B9ECD8F" w14:textId="5682CE83" w:rsidR="008B6819" w:rsidRPr="00B655D2" w:rsidRDefault="00A17243" w:rsidP="008B6819">
      <w:pPr>
        <w:pStyle w:val="Zkladnodstavec"/>
        <w:spacing w:before="360" w:after="120"/>
        <w:contextualSpacing/>
        <w:jc w:val="center"/>
        <w:rPr>
          <w:rFonts w:ascii="Arial" w:hAnsi="Arial" w:cs="Arial"/>
          <w:caps/>
          <w:color w:val="auto"/>
          <w:sz w:val="36"/>
          <w:szCs w:val="36"/>
        </w:rPr>
      </w:pPr>
      <w:r>
        <w:rPr>
          <w:rFonts w:ascii="Arial" w:hAnsi="Arial" w:cs="Arial"/>
          <w:caps/>
          <w:color w:val="auto"/>
          <w:sz w:val="36"/>
          <w:szCs w:val="36"/>
        </w:rPr>
        <w:t>90</w:t>
      </w:r>
      <w:r w:rsidR="008B6819" w:rsidRPr="00B655D2">
        <w:rPr>
          <w:rFonts w:ascii="Arial" w:hAnsi="Arial" w:cs="Arial"/>
          <w:caps/>
          <w:color w:val="auto"/>
          <w:sz w:val="36"/>
          <w:szCs w:val="36"/>
        </w:rPr>
        <w:t xml:space="preserve">. výzva IROP </w:t>
      </w:r>
      <w:r w:rsidR="008B6819" w:rsidRPr="00B655D2">
        <w:rPr>
          <w:rFonts w:ascii="Arial" w:hAnsi="Arial" w:cs="Arial"/>
          <w:color w:val="auto"/>
          <w:sz w:val="36"/>
          <w:szCs w:val="36"/>
        </w:rPr>
        <w:t>– CESTOVNÍ RUCH – SC 4.4 (</w:t>
      </w:r>
      <w:r>
        <w:rPr>
          <w:rFonts w:ascii="Arial" w:hAnsi="Arial" w:cs="Arial"/>
          <w:color w:val="auto"/>
          <w:sz w:val="36"/>
          <w:szCs w:val="36"/>
        </w:rPr>
        <w:t>ITI</w:t>
      </w:r>
      <w:r w:rsidR="008B6819" w:rsidRPr="00B655D2">
        <w:rPr>
          <w:rFonts w:ascii="Arial" w:hAnsi="Arial" w:cs="Arial"/>
          <w:color w:val="auto"/>
          <w:sz w:val="36"/>
          <w:szCs w:val="36"/>
        </w:rPr>
        <w:t>)</w:t>
      </w:r>
    </w:p>
    <w:p w14:paraId="3D07F593" w14:textId="0893E92B" w:rsidR="00493094" w:rsidRDefault="00493094" w:rsidP="00493094">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A17243">
        <w:rPr>
          <w:rFonts w:ascii="Arial" w:hAnsi="Arial" w:cs="Arial"/>
          <w:caps/>
          <w:color w:val="A6A6A6" w:themeColor="background1" w:themeShade="A6"/>
          <w:sz w:val="32"/>
          <w:szCs w:val="40"/>
        </w:rPr>
        <w:t>2</w:t>
      </w:r>
    </w:p>
    <w:p w14:paraId="59EB2851" w14:textId="77777777" w:rsidR="00FE0228" w:rsidRPr="004E1DC9" w:rsidRDefault="00FE0228" w:rsidP="00493094">
      <w:pPr>
        <w:pStyle w:val="Zkladnodstavec"/>
        <w:spacing w:before="480" w:after="120"/>
        <w:jc w:val="center"/>
        <w:rPr>
          <w:rFonts w:ascii="Arial" w:hAnsi="Arial" w:cs="Arial"/>
          <w:caps/>
          <w:color w:val="A6A6A6" w:themeColor="background1" w:themeShade="A6"/>
          <w:sz w:val="32"/>
          <w:szCs w:val="40"/>
        </w:r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4BB625CC"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4B53F7">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lastRenderedPageBreak/>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CE2B6F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w:t>
      </w:r>
      <w:r w:rsidRPr="00126075">
        <w:rPr>
          <w:rFonts w:ascii="Arial" w:hAnsi="Arial" w:cs="Arial"/>
          <w:bCs/>
          <w:sz w:val="22"/>
          <w:szCs w:val="22"/>
        </w:rPr>
        <w:t>ve</w:t>
      </w:r>
      <w:r w:rsidR="00126075">
        <w:rPr>
          <w:rFonts w:ascii="Arial" w:hAnsi="Arial" w:cs="Arial"/>
          <w:bCs/>
          <w:sz w:val="22"/>
          <w:szCs w:val="22"/>
        </w:rPr>
        <w:t> </w:t>
      </w:r>
      <w:r w:rsidRPr="00126075">
        <w:rPr>
          <w:rFonts w:ascii="Arial" w:hAnsi="Arial" w:cs="Arial"/>
          <w:bCs/>
          <w:sz w:val="22"/>
          <w:szCs w:val="22"/>
        </w:rPr>
        <w:t>spojení</w:t>
      </w:r>
      <w:r w:rsidRPr="00BF657C">
        <w:rPr>
          <w:rFonts w:ascii="Arial" w:hAnsi="Arial" w:cs="Arial"/>
          <w:bCs/>
          <w:sz w:val="22"/>
          <w:szCs w:val="22"/>
        </w:rPr>
        <w:t xml:space="preserve"> s § 14m zákona č. 218/2000 Sb., o rozpočtových pravidlech a o změně některých souvisejících zákonů, ve znění pozdějších předpisů (dále jen „rozpočtová pravidla“).</w:t>
      </w:r>
    </w:p>
    <w:p w14:paraId="0896A189" w14:textId="7092D2FC"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4BB50DE6"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BE3103C"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50F2CC46"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0D938AA6"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703AC763"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40524C9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3050DA6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203F880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3C2C883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Příjemce je povinen nejpozději </w:t>
            </w:r>
            <w:bookmarkStart w:id="8" w:name="_Hlk97024462"/>
            <w:r w:rsidRPr="00687B29">
              <w:rPr>
                <w:rFonts w:ascii="Arial" w:hAnsi="Arial" w:cs="Arial"/>
                <w:snapToGrid w:val="0"/>
                <w:sz w:val="22"/>
                <w:szCs w:val="22"/>
              </w:rPr>
              <w:t xml:space="preserve">při podání závěrečné zprávy o realizaci projektu </w:t>
            </w:r>
            <w:bookmarkEnd w:id="8"/>
            <w:r w:rsidRPr="00687B29">
              <w:rPr>
                <w:rFonts w:ascii="Arial" w:hAnsi="Arial" w:cs="Arial"/>
                <w:snapToGrid w:val="0"/>
                <w:sz w:val="22"/>
                <w:szCs w:val="22"/>
              </w:rPr>
              <w:t>prokázat</w:t>
            </w:r>
            <w:r w:rsidR="00F50A11" w:rsidRPr="00687B29">
              <w:rPr>
                <w:rFonts w:ascii="Arial" w:hAnsi="Arial" w:cs="Arial"/>
                <w:snapToGrid w:val="0"/>
                <w:sz w:val="22"/>
                <w:szCs w:val="22"/>
              </w:rPr>
              <w:t>,</w:t>
            </w:r>
            <w:r w:rsidRPr="00687B29">
              <w:rPr>
                <w:rFonts w:ascii="Arial" w:hAnsi="Arial" w:cs="Arial"/>
                <w:snapToGrid w:val="0"/>
                <w:sz w:val="22"/>
                <w:szCs w:val="22"/>
              </w:rPr>
              <w:t xml:space="preserve"> že indikátory </w:t>
            </w:r>
            <w:r w:rsidR="00A67B07" w:rsidRPr="00687B29">
              <w:rPr>
                <w:rFonts w:ascii="Arial" w:hAnsi="Arial" w:cs="Arial"/>
                <w:i/>
                <w:iCs/>
                <w:snapToGrid w:val="0"/>
                <w:sz w:val="22"/>
                <w:szCs w:val="22"/>
              </w:rPr>
              <w:t xml:space="preserve">I. – </w:t>
            </w:r>
            <w:r w:rsidR="00805E32" w:rsidRPr="00687B29">
              <w:rPr>
                <w:rFonts w:ascii="Arial" w:hAnsi="Arial" w:cs="Arial"/>
                <w:i/>
                <w:iCs/>
                <w:snapToGrid w:val="0"/>
                <w:sz w:val="22"/>
                <w:szCs w:val="22"/>
              </w:rPr>
              <w:t>IX</w:t>
            </w:r>
            <w:r w:rsidR="00A67B07" w:rsidRPr="00687B29">
              <w:rPr>
                <w:rFonts w:ascii="Arial" w:hAnsi="Arial" w:cs="Arial"/>
                <w:i/>
                <w:iCs/>
                <w:snapToGrid w:val="0"/>
                <w:sz w:val="22"/>
                <w:szCs w:val="22"/>
              </w:rPr>
              <w:t>.</w:t>
            </w:r>
            <w:r w:rsidR="00A67B07" w:rsidRPr="00687B29">
              <w:rPr>
                <w:rFonts w:ascii="Arial" w:hAnsi="Arial" w:cs="Arial"/>
                <w:snapToGrid w:val="0"/>
                <w:sz w:val="22"/>
                <w:szCs w:val="22"/>
              </w:rPr>
              <w:t xml:space="preserve"> </w:t>
            </w:r>
            <w:r w:rsidRPr="00687B29">
              <w:rPr>
                <w:rFonts w:ascii="Arial" w:hAnsi="Arial" w:cs="Arial"/>
                <w:snapToGrid w:val="0"/>
                <w:sz w:val="22"/>
                <w:szCs w:val="22"/>
              </w:rPr>
              <w:t>byly naplněny v termínu</w:t>
            </w:r>
            <w:r w:rsidR="00502AD2" w:rsidRPr="00687B29">
              <w:rPr>
                <w:rStyle w:val="Znakapoznpodarou"/>
                <w:rFonts w:ascii="Arial" w:hAnsi="Arial" w:cs="Arial"/>
                <w:snapToGrid w:val="0"/>
                <w:sz w:val="22"/>
                <w:szCs w:val="22"/>
              </w:rPr>
              <w:footnoteReference w:id="14"/>
            </w:r>
            <w:r w:rsidRPr="00687B29">
              <w:rPr>
                <w:rFonts w:ascii="Arial" w:hAnsi="Arial" w:cs="Arial"/>
                <w:snapToGrid w:val="0"/>
                <w:sz w:val="22"/>
                <w:szCs w:val="22"/>
              </w:rPr>
              <w:t xml:space="preserve"> a cílové hodnotě uvedené na Rozhodnutí / v MS2021+</w:t>
            </w:r>
            <w:r w:rsidRPr="00687B29">
              <w:rPr>
                <w:rStyle w:val="Znakapoznpodarou"/>
                <w:rFonts w:ascii="Arial" w:hAnsi="Arial" w:cs="Arial"/>
                <w:snapToGrid w:val="0"/>
                <w:sz w:val="22"/>
                <w:szCs w:val="22"/>
              </w:rPr>
              <w:footnoteReference w:id="15"/>
            </w:r>
            <w:r w:rsidRPr="00687B29">
              <w:rPr>
                <w:rFonts w:ascii="Arial" w:hAnsi="Arial" w:cs="Arial"/>
                <w:snapToGrid w:val="0"/>
                <w:sz w:val="22"/>
                <w:szCs w:val="22"/>
              </w:rPr>
              <w:t xml:space="preserve">. </w:t>
            </w:r>
          </w:p>
          <w:p w14:paraId="79F19E53" w14:textId="78FFFDDD"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Naplnění </w:t>
            </w:r>
            <w:r w:rsidR="00F50A11" w:rsidRPr="00687B29">
              <w:rPr>
                <w:rFonts w:ascii="Arial" w:hAnsi="Arial" w:cs="Arial"/>
                <w:snapToGrid w:val="0"/>
                <w:sz w:val="22"/>
                <w:szCs w:val="22"/>
              </w:rPr>
              <w:t xml:space="preserve">cílové hodnoty </w:t>
            </w:r>
            <w:r w:rsidRPr="00687B29">
              <w:rPr>
                <w:rFonts w:ascii="Arial" w:hAnsi="Arial" w:cs="Arial"/>
                <w:snapToGrid w:val="0"/>
                <w:sz w:val="22"/>
                <w:szCs w:val="22"/>
              </w:rPr>
              <w:t xml:space="preserve">indikátoru </w:t>
            </w:r>
            <w:r w:rsidR="00805E32" w:rsidRPr="00687B29">
              <w:rPr>
                <w:rFonts w:ascii="Arial" w:hAnsi="Arial" w:cs="Arial"/>
                <w:i/>
                <w:iCs/>
                <w:snapToGrid w:val="0"/>
                <w:sz w:val="22"/>
                <w:szCs w:val="22"/>
              </w:rPr>
              <w:t>X</w:t>
            </w:r>
            <w:r w:rsidRPr="00687B29">
              <w:rPr>
                <w:rFonts w:ascii="Arial" w:hAnsi="Arial" w:cs="Arial"/>
                <w:i/>
                <w:iCs/>
                <w:snapToGrid w:val="0"/>
                <w:sz w:val="22"/>
                <w:szCs w:val="22"/>
              </w:rPr>
              <w:t>.</w:t>
            </w:r>
            <w:r w:rsidRPr="00687B29">
              <w:rPr>
                <w:rFonts w:ascii="Arial" w:hAnsi="Arial" w:cs="Arial"/>
                <w:snapToGrid w:val="0"/>
                <w:sz w:val="22"/>
                <w:szCs w:val="22"/>
              </w:rPr>
              <w:t xml:space="preserve"> uvedené v MS2021+ je příjemce povinen vykázat při podání první Zprávy o</w:t>
            </w:r>
            <w:r w:rsidR="00803BAC" w:rsidRPr="00687B29">
              <w:rPr>
                <w:rFonts w:ascii="Arial" w:hAnsi="Arial" w:cs="Arial"/>
                <w:snapToGrid w:val="0"/>
                <w:sz w:val="22"/>
                <w:szCs w:val="22"/>
              </w:rPr>
              <w:t> </w:t>
            </w:r>
            <w:r w:rsidRPr="00687B29">
              <w:rPr>
                <w:rFonts w:ascii="Arial" w:hAnsi="Arial" w:cs="Arial"/>
                <w:snapToGrid w:val="0"/>
                <w:sz w:val="22"/>
                <w:szCs w:val="22"/>
              </w:rPr>
              <w:t xml:space="preserve">udržitelnosti projektu. </w:t>
            </w:r>
          </w:p>
          <w:p w14:paraId="4553DF32"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7D2886F7"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16CE9E1E"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0F94A1D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54109C40" w14:textId="5604AFAA"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0CD3FCEE" w14:textId="7B4BFA4F"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1C472E7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71CEAF05"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211D559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7D68742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lastRenderedPageBreak/>
              <w:t>323 000 - Snížení konečné spotřeby energie u podpořených subjektů</w:t>
            </w:r>
          </w:p>
          <w:p w14:paraId="2B3D5CF4"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5001E994"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p w14:paraId="746ABC43" w14:textId="77777777" w:rsidR="009132E6" w:rsidRPr="00687B29"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687B29" w:rsidRDefault="00477071"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lastRenderedPageBreak/>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nenaplnění cílové hodnoty indikátorů</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0C678D"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9948B08" w14:textId="65B5BEBE"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0C678D" w:rsidRPr="00687B29">
              <w:rPr>
                <w:rFonts w:ascii="Arial" w:hAnsi="Arial" w:cs="Arial"/>
                <w:snapToGrid w:val="0"/>
                <w:sz w:val="22"/>
                <w:szCs w:val="22"/>
                <w:lang w:eastAsia="zh-CN" w:bidi="ar"/>
              </w:rPr>
              <w:t xml:space="preserve"> </w:t>
            </w:r>
            <w:r w:rsidR="00866C89" w:rsidRPr="00687B29">
              <w:rPr>
                <w:rFonts w:ascii="Arial" w:hAnsi="Arial" w:cs="Arial"/>
                <w:snapToGrid w:val="0"/>
                <w:sz w:val="22"/>
                <w:szCs w:val="22"/>
                <w:lang w:eastAsia="zh-CN" w:bidi="ar"/>
              </w:rPr>
              <w:t>indikátorů</w:t>
            </w:r>
            <w:r w:rsidRPr="00687B29">
              <w:rPr>
                <w:rFonts w:ascii="Arial" w:hAnsi="Arial" w:cs="Arial"/>
                <w:snapToGrid w:val="0"/>
                <w:sz w:val="22"/>
                <w:szCs w:val="22"/>
                <w:lang w:eastAsia="zh-CN" w:bidi="ar"/>
              </w:rPr>
              <w:t xml:space="preserve"> bez stanoveného tolerančního pásma (indikátor</w:t>
            </w:r>
            <w:r w:rsidR="00866C89" w:rsidRPr="00687B29">
              <w:rPr>
                <w:rFonts w:ascii="Arial" w:hAnsi="Arial" w:cs="Arial"/>
                <w:snapToGrid w:val="0"/>
                <w:sz w:val="22"/>
                <w:szCs w:val="22"/>
                <w:lang w:eastAsia="zh-CN" w:bidi="ar"/>
              </w:rPr>
              <w:t xml:space="preserve"> </w:t>
            </w:r>
            <w:r w:rsidR="009132E6" w:rsidRPr="00687B29">
              <w:rPr>
                <w:rFonts w:ascii="Arial" w:hAnsi="Arial" w:cs="Arial"/>
                <w:i/>
                <w:iCs/>
                <w:snapToGrid w:val="0"/>
                <w:sz w:val="22"/>
                <w:szCs w:val="22"/>
                <w:lang w:eastAsia="zh-CN" w:bidi="ar"/>
              </w:rPr>
              <w:t>I.</w:t>
            </w:r>
            <w:r w:rsidR="000C678D"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0C678D"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277403"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 xml:space="preserve">) bude stanovena finanční oprava </w:t>
            </w:r>
            <w:r w:rsidR="009132E6" w:rsidRPr="00687B29">
              <w:rPr>
                <w:rFonts w:ascii="Arial" w:hAnsi="Arial" w:cs="Arial"/>
                <w:snapToGrid w:val="0"/>
                <w:sz w:val="22"/>
                <w:szCs w:val="22"/>
                <w:lang w:eastAsia="zh-CN" w:bidi="ar"/>
              </w:rPr>
              <w:t xml:space="preserve">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cílovou hodnotu indikátoru</w:t>
            </w:r>
            <w:r w:rsidRPr="00687B29">
              <w:rPr>
                <w:rFonts w:ascii="Arial" w:hAnsi="Arial" w:cs="Arial"/>
                <w:snapToGrid w:val="0"/>
                <w:sz w:val="22"/>
                <w:szCs w:val="22"/>
                <w:lang w:eastAsia="zh-CN" w:bidi="ar"/>
              </w:rPr>
              <w:t>.</w:t>
            </w:r>
          </w:p>
          <w:p w14:paraId="02A69AF6" w14:textId="5B5E862D"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687B29">
              <w:rPr>
                <w:rFonts w:ascii="Arial" w:hAnsi="Arial" w:cs="Arial"/>
                <w:snapToGrid w:val="0"/>
                <w:sz w:val="22"/>
                <w:szCs w:val="22"/>
                <w:lang w:eastAsia="zh-CN" w:bidi="ar"/>
              </w:rPr>
              <w:t>V ostatních případech bude finanční oprava stanovena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minimální hranici tolerančního pásma</w:t>
            </w:r>
            <w:r w:rsidRPr="00687B29">
              <w:rPr>
                <w:rFonts w:ascii="Arial" w:hAnsi="Arial" w:cs="Arial"/>
                <w:snapToGrid w:val="0"/>
                <w:sz w:val="22"/>
                <w:szCs w:val="22"/>
                <w:lang w:eastAsia="zh-CN" w:bidi="ar"/>
              </w:rPr>
              <w:t xml:space="preserve"> indikátoru</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v případě, kdy nedojde k naplnění cílové hodnoty u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rPr>
              <w:t xml:space="preserve"> </w:t>
            </w:r>
          </w:p>
          <w:p w14:paraId="229FD214" w14:textId="3FA3D07B"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a více,</w:t>
            </w:r>
          </w:p>
          <w:p w14:paraId="684B1637" w14:textId="6BCE710C"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a více,</w:t>
            </w:r>
          </w:p>
          <w:p w14:paraId="23A02ABA" w14:textId="65AE42D5"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5293E6E1" w14:textId="19092274" w:rsidR="00805E32" w:rsidRPr="00687B29" w:rsidRDefault="00805E32" w:rsidP="00805E32">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eastAsiaTheme="minorEastAsia" w:hAnsi="Arial" w:cs="Arial"/>
                <w:i/>
                <w:iCs/>
                <w:snapToGrid w:val="0"/>
                <w:sz w:val="22"/>
                <w:szCs w:val="22"/>
                <w:lang w:eastAsia="zh-CN" w:bidi="ar"/>
              </w:rPr>
              <w:t xml:space="preserve">. </w:t>
            </w:r>
            <w:r w:rsidRPr="00687B29">
              <w:rPr>
                <w:rFonts w:ascii="Arial" w:eastAsiaTheme="minorEastAsia" w:hAnsi="Arial" w:cs="Arial"/>
                <w:snapToGrid w:val="0"/>
                <w:sz w:val="22"/>
                <w:szCs w:val="22"/>
                <w:lang w:eastAsia="zh-CN" w:bidi="ar"/>
              </w:rPr>
              <w:t xml:space="preserve">za období </w:t>
            </w:r>
            <w:r w:rsidRPr="00687B29">
              <w:rPr>
                <w:rFonts w:ascii="Arial" w:eastAsiaTheme="minorEastAsia" w:hAnsi="Arial" w:cs="Arial"/>
                <w:sz w:val="22"/>
                <w:szCs w:val="22"/>
              </w:rPr>
              <w:t>prvního roku udržitelnosti</w:t>
            </w:r>
            <w:r w:rsidRPr="00687B29">
              <w:rPr>
                <w:rFonts w:ascii="Arial" w:eastAsiaTheme="minorEastAsia" w:hAnsi="Arial" w:cs="Arial"/>
                <w:snapToGrid w:val="0"/>
                <w:sz w:val="22"/>
                <w:szCs w:val="22"/>
                <w:lang w:eastAsia="zh-CN" w:bidi="ar"/>
              </w:rPr>
              <w:t xml:space="preserve"> na 60 % a více.</w:t>
            </w:r>
          </w:p>
          <w:p w14:paraId="408BDE7F" w14:textId="15E96EF2" w:rsidR="009132E6" w:rsidRPr="00687B29" w:rsidRDefault="009132E6" w:rsidP="00F50A11">
            <w:pPr>
              <w:spacing w:before="120" w:after="120" w:line="271" w:lineRule="auto"/>
              <w:jc w:val="both"/>
              <w:rPr>
                <w:rFonts w:ascii="Arial" w:hAnsi="Arial" w:cs="Arial"/>
                <w:sz w:val="22"/>
                <w:szCs w:val="22"/>
              </w:rPr>
            </w:pPr>
            <w:r w:rsidRPr="00687B29">
              <w:rPr>
                <w:rFonts w:ascii="Arial" w:hAnsi="Arial" w:cs="Arial"/>
                <w:snapToGrid w:val="0"/>
                <w:sz w:val="22"/>
                <w:szCs w:val="22"/>
              </w:rPr>
              <w:t>Překročení</w:t>
            </w:r>
            <w:r w:rsidR="00502AD2" w:rsidRPr="00687B29">
              <w:rPr>
                <w:rStyle w:val="Znakapoznpodarou"/>
                <w:rFonts w:ascii="Arial" w:hAnsi="Arial" w:cs="Arial"/>
                <w:snapToGrid w:val="0"/>
                <w:sz w:val="22"/>
                <w:szCs w:val="22"/>
              </w:rPr>
              <w:footnoteReference w:id="16"/>
            </w:r>
            <w:r w:rsidRPr="00687B29">
              <w:rPr>
                <w:rFonts w:ascii="Arial" w:hAnsi="Arial" w:cs="Arial"/>
                <w:snapToGrid w:val="0"/>
                <w:sz w:val="22"/>
                <w:szCs w:val="22"/>
              </w:rPr>
              <w:t xml:space="preserve"> cílové hodnoty indikátorů nepodléhá finanční opravě</w:t>
            </w:r>
            <w:r w:rsidR="00171053" w:rsidRPr="00687B29">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lastRenderedPageBreak/>
              <w:t xml:space="preserve">Příjemce je povinen v době udržitelnosti </w:t>
            </w:r>
            <w:r w:rsidR="00477071" w:rsidRPr="00687B29">
              <w:rPr>
                <w:rFonts w:ascii="Arial" w:hAnsi="Arial" w:cs="Arial"/>
                <w:snapToGrid w:val="0"/>
                <w:sz w:val="22"/>
                <w:szCs w:val="22"/>
              </w:rPr>
              <w:t xml:space="preserve">přinejmenším zachovat výši uvedených </w:t>
            </w:r>
            <w:r w:rsidRPr="00687B29">
              <w:rPr>
                <w:rFonts w:ascii="Arial" w:hAnsi="Arial" w:cs="Arial"/>
                <w:snapToGrid w:val="0"/>
                <w:sz w:val="22"/>
                <w:szCs w:val="22"/>
              </w:rPr>
              <w:t>indikátor</w:t>
            </w:r>
            <w:r w:rsidR="00477071" w:rsidRPr="00687B29">
              <w:rPr>
                <w:rFonts w:ascii="Arial" w:hAnsi="Arial" w:cs="Arial"/>
                <w:snapToGrid w:val="0"/>
                <w:sz w:val="22"/>
                <w:szCs w:val="22"/>
              </w:rPr>
              <w:t>ů dosaženou</w:t>
            </w:r>
            <w:r w:rsidR="00502AD2" w:rsidRPr="00687B29">
              <w:rPr>
                <w:rFonts w:ascii="Arial" w:hAnsi="Arial" w:cs="Arial"/>
                <w:snapToGrid w:val="0"/>
                <w:sz w:val="22"/>
                <w:szCs w:val="22"/>
              </w:rPr>
              <w:t xml:space="preserve"> k Rozhodnému datu</w:t>
            </w:r>
            <w:r w:rsidRPr="00687B29">
              <w:rPr>
                <w:rFonts w:ascii="Arial" w:hAnsi="Arial" w:cs="Arial"/>
                <w:snapToGrid w:val="0"/>
                <w:sz w:val="22"/>
                <w:szCs w:val="22"/>
              </w:rPr>
              <w:t>.</w:t>
            </w:r>
            <w:r w:rsidR="00477071" w:rsidRPr="00687B29">
              <w:rPr>
                <w:rStyle w:val="Znakapoznpodarou"/>
                <w:rFonts w:ascii="Arial" w:hAnsi="Arial" w:cs="Arial"/>
                <w:snapToGrid w:val="0"/>
                <w:sz w:val="22"/>
                <w:szCs w:val="22"/>
              </w:rPr>
              <w:footnoteReference w:id="17"/>
            </w:r>
          </w:p>
          <w:p w14:paraId="14AB43D3" w14:textId="77777777" w:rsidR="00277403" w:rsidRPr="00687B29" w:rsidRDefault="00277403" w:rsidP="00277403">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0AE04839"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593F5EB0"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6F2077AD"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4B9C1DB6"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3F2C9E51"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2DC2630B"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155E59C4"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5FA67397"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0FAD5B53"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323 000 - Snížení konečné spotřeby energie u podpořených subjektů</w:t>
            </w:r>
          </w:p>
          <w:p w14:paraId="08952F1C"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2BA0D56F"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687B29" w:rsidRDefault="00FB1195"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neudržení dosažené hodnoty indikátorů k Rozhodnému datu</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5BB193C" w14:textId="7082A6BB"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351B32" w:rsidRPr="00687B29">
              <w:rPr>
                <w:rFonts w:ascii="Arial" w:hAnsi="Arial" w:cs="Arial"/>
                <w:snapToGrid w:val="0"/>
                <w:sz w:val="22"/>
                <w:szCs w:val="22"/>
                <w:lang w:eastAsia="zh-CN" w:bidi="ar"/>
              </w:rPr>
              <w:t xml:space="preserve"> indikátorů</w:t>
            </w:r>
            <w:r w:rsidRPr="00687B29">
              <w:rPr>
                <w:rFonts w:ascii="Arial" w:hAnsi="Arial" w:cs="Arial"/>
                <w:snapToGrid w:val="0"/>
                <w:sz w:val="22"/>
                <w:szCs w:val="22"/>
                <w:lang w:eastAsia="zh-CN" w:bidi="ar"/>
              </w:rPr>
              <w:t>, u kterých došlo k aplikaci finanční opravy podle bodu 6</w:t>
            </w:r>
            <w:r w:rsidR="00D74B9E" w:rsidRPr="00687B29">
              <w:rPr>
                <w:rFonts w:ascii="Arial" w:hAnsi="Arial" w:cs="Arial"/>
                <w:snapToGrid w:val="0"/>
                <w:sz w:val="22"/>
                <w:szCs w:val="22"/>
                <w:lang w:eastAsia="zh-CN" w:bidi="ar"/>
              </w:rPr>
              <w:t xml:space="preserve"> (vyjma indikátoru </w:t>
            </w:r>
            <w:r w:rsidR="00D74B9E" w:rsidRPr="00687B29">
              <w:rPr>
                <w:rFonts w:ascii="Arial" w:hAnsi="Arial" w:cs="Arial"/>
                <w:i/>
                <w:iCs/>
                <w:snapToGrid w:val="0"/>
                <w:sz w:val="22"/>
                <w:szCs w:val="22"/>
                <w:lang w:eastAsia="zh-CN" w:bidi="ar"/>
              </w:rPr>
              <w:t>X</w:t>
            </w:r>
            <w:r w:rsidR="00805E32" w:rsidRPr="00687B29">
              <w:rPr>
                <w:rFonts w:ascii="Arial" w:hAnsi="Arial" w:cs="Arial"/>
                <w:i/>
                <w:iCs/>
                <w:snapToGrid w:val="0"/>
                <w:sz w:val="22"/>
                <w:szCs w:val="22"/>
                <w:lang w:eastAsia="zh-CN" w:bidi="ar"/>
              </w:rPr>
              <w:t>.</w:t>
            </w:r>
            <w:r w:rsidR="00D74B9E"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a u indikátorů bez stanoveného tolerančního pásma</w:t>
            </w:r>
            <w:r w:rsidR="00351B32"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(indikátor </w:t>
            </w:r>
            <w:r w:rsidR="009132E6" w:rsidRPr="00687B29">
              <w:rPr>
                <w:rFonts w:ascii="Arial" w:hAnsi="Arial" w:cs="Arial"/>
                <w:i/>
                <w:iCs/>
                <w:snapToGrid w:val="0"/>
                <w:sz w:val="22"/>
                <w:szCs w:val="22"/>
                <w:lang w:eastAsia="zh-CN" w:bidi="ar"/>
              </w:rPr>
              <w:t>I.</w:t>
            </w:r>
            <w:r w:rsidR="00351B32"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351B32"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351B32"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w:t>
            </w:r>
            <w:r w:rsidR="00A25C97"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a</w:t>
            </w:r>
            <w:r w:rsidR="00A25C97" w:rsidRPr="00687B29">
              <w:rPr>
                <w:rFonts w:ascii="Arial" w:hAnsi="Arial" w:cs="Arial"/>
                <w:snapToGrid w:val="0"/>
                <w:sz w:val="22"/>
                <w:szCs w:val="22"/>
                <w:lang w:eastAsia="zh-CN" w:bidi="ar"/>
              </w:rPr>
              <w:t> </w:t>
            </w:r>
            <w:r w:rsidR="00803BAC" w:rsidRPr="00687B29">
              <w:rPr>
                <w:rFonts w:ascii="Arial" w:hAnsi="Arial" w:cs="Arial"/>
                <w:snapToGrid w:val="0"/>
                <w:sz w:val="22"/>
                <w:szCs w:val="22"/>
                <w:lang w:eastAsia="zh-CN" w:bidi="ar"/>
              </w:rPr>
              <w:t xml:space="preserve">dosaženou </w:t>
            </w:r>
            <w:r w:rsidR="009132E6" w:rsidRPr="00687B29">
              <w:rPr>
                <w:rFonts w:ascii="Arial" w:hAnsi="Arial" w:cs="Arial"/>
                <w:snapToGrid w:val="0"/>
                <w:sz w:val="22"/>
                <w:szCs w:val="22"/>
                <w:lang w:eastAsia="zh-CN" w:bidi="ar"/>
              </w:rPr>
              <w:t xml:space="preserve">hodnotu indikátoru </w:t>
            </w:r>
            <w:r w:rsidR="00502AD2" w:rsidRPr="00687B29">
              <w:rPr>
                <w:rFonts w:ascii="Arial" w:hAnsi="Arial" w:cs="Arial"/>
                <w:snapToGrid w:val="0"/>
                <w:sz w:val="22"/>
                <w:szCs w:val="22"/>
                <w:lang w:eastAsia="zh-CN" w:bidi="ar"/>
              </w:rPr>
              <w:t>k Rozhodnému datu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w:t>
            </w:r>
          </w:p>
          <w:p w14:paraId="55C40FDA" w14:textId="16204004"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 ostatních případech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a </w:t>
            </w:r>
            <w:r w:rsidR="009132E6" w:rsidRPr="00687B29">
              <w:rPr>
                <w:rFonts w:ascii="Arial" w:hAnsi="Arial" w:cs="Arial"/>
                <w:snapToGrid w:val="0"/>
                <w:sz w:val="22"/>
                <w:szCs w:val="22"/>
                <w:lang w:eastAsia="zh-CN" w:bidi="ar"/>
              </w:rPr>
              <w:t>minimální hranic</w:t>
            </w:r>
            <w:r w:rsidR="00502AD2" w:rsidRPr="00687B29">
              <w:rPr>
                <w:rFonts w:ascii="Arial" w:hAnsi="Arial" w:cs="Arial"/>
                <w:snapToGrid w:val="0"/>
                <w:sz w:val="22"/>
                <w:szCs w:val="22"/>
                <w:lang w:eastAsia="zh-CN" w:bidi="ar"/>
              </w:rPr>
              <w:t>i</w:t>
            </w:r>
            <w:r w:rsidR="009132E6" w:rsidRPr="00687B29">
              <w:rPr>
                <w:rFonts w:ascii="Arial" w:hAnsi="Arial" w:cs="Arial"/>
                <w:snapToGrid w:val="0"/>
                <w:sz w:val="22"/>
                <w:szCs w:val="22"/>
                <w:lang w:eastAsia="zh-CN" w:bidi="ar"/>
              </w:rPr>
              <w:t xml:space="preserve"> tolerančního pásma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 xml:space="preserve"> v případ</w:t>
            </w:r>
            <w:r w:rsidR="005C6470" w:rsidRPr="00687B29">
              <w:rPr>
                <w:rFonts w:ascii="Arial" w:hAnsi="Arial" w:cs="Arial"/>
                <w:snapToGrid w:val="0"/>
                <w:sz w:val="22"/>
                <w:szCs w:val="22"/>
                <w:lang w:eastAsia="zh-CN" w:bidi="ar"/>
              </w:rPr>
              <w:t>ě</w:t>
            </w:r>
            <w:r w:rsidRPr="00687B29">
              <w:rPr>
                <w:rFonts w:ascii="Arial" w:hAnsi="Arial" w:cs="Arial"/>
                <w:snapToGrid w:val="0"/>
                <w:sz w:val="22"/>
                <w:szCs w:val="22"/>
                <w:lang w:eastAsia="zh-CN" w:bidi="ar"/>
              </w:rPr>
              <w:t>, kdy nedojde k udržení u indikátoru:</w:t>
            </w:r>
            <w:r w:rsidR="009132E6" w:rsidRPr="00687B29">
              <w:rPr>
                <w:rFonts w:ascii="Arial" w:hAnsi="Arial" w:cs="Arial"/>
                <w:snapToGrid w:val="0"/>
                <w:sz w:val="22"/>
                <w:szCs w:val="22"/>
                <w:lang w:eastAsia="zh-CN" w:bidi="ar"/>
              </w:rPr>
              <w:t xml:space="preserve"> </w:t>
            </w:r>
          </w:p>
          <w:p w14:paraId="1232B8C2" w14:textId="26A87E2D"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cílové hodnoty a více,</w:t>
            </w:r>
          </w:p>
          <w:p w14:paraId="3EE692A3" w14:textId="3EE0F480"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cílové hodnoty a více,</w:t>
            </w:r>
          </w:p>
          <w:p w14:paraId="2E945ED8" w14:textId="0C5C2609"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0D073FF7" w14:textId="7053E5E1"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hAnsi="Arial" w:cs="Arial"/>
                <w:snapToGrid w:val="0"/>
                <w:sz w:val="22"/>
                <w:szCs w:val="22"/>
                <w:lang w:eastAsia="zh-CN" w:bidi="ar"/>
              </w:rPr>
              <w:t xml:space="preserve"> na 60 % cílové hodnoty a více.</w:t>
            </w:r>
          </w:p>
          <w:p w14:paraId="04411878" w14:textId="4322A8D1" w:rsidR="009132E6" w:rsidRPr="00687B29" w:rsidRDefault="009132E6" w:rsidP="0042247B">
            <w:pPr>
              <w:spacing w:before="120" w:after="120" w:line="271" w:lineRule="auto"/>
              <w:jc w:val="both"/>
              <w:rPr>
                <w:rFonts w:ascii="Arial" w:hAnsi="Arial" w:cs="Arial"/>
                <w:sz w:val="22"/>
                <w:szCs w:val="22"/>
              </w:rPr>
            </w:pPr>
            <w:r w:rsidRPr="00687B29">
              <w:rPr>
                <w:rFonts w:ascii="Arial" w:hAnsi="Arial" w:cs="Arial"/>
                <w:sz w:val="22"/>
                <w:szCs w:val="22"/>
                <w:lang w:eastAsia="zh-CN" w:bidi="ar"/>
              </w:rPr>
              <w:t>Do vzorce výpočtu bude promítnuta délka zkoumaného období a bude zohledněna délka doby, po kterou příjemce indikátory neudržel.</w:t>
            </w:r>
            <w:r w:rsidRPr="00687B29">
              <w:rPr>
                <w:rFonts w:ascii="Arial" w:hAnsi="Arial" w:cs="Arial"/>
                <w:sz w:val="22"/>
                <w:szCs w:val="22"/>
              </w:rPr>
              <w:t xml:space="preserve"> </w:t>
            </w:r>
          </w:p>
          <w:p w14:paraId="50547215" w14:textId="359E6132" w:rsidR="009132E6" w:rsidRPr="00687B29" w:rsidRDefault="009132E6" w:rsidP="0042247B">
            <w:pPr>
              <w:spacing w:before="120" w:after="120" w:line="271" w:lineRule="auto"/>
              <w:jc w:val="both"/>
              <w:rPr>
                <w:rFonts w:ascii="Arial" w:hAnsi="Arial" w:cs="Arial"/>
                <w:snapToGrid w:val="0"/>
                <w:sz w:val="22"/>
                <w:szCs w:val="22"/>
              </w:rPr>
            </w:pPr>
            <w:r w:rsidRPr="00687B29">
              <w:rPr>
                <w:rFonts w:ascii="Arial" w:hAnsi="Arial" w:cs="Arial"/>
                <w:snapToGrid w:val="0"/>
                <w:sz w:val="22"/>
                <w:szCs w:val="22"/>
              </w:rPr>
              <w:t>V případě indikátorů (</w:t>
            </w:r>
            <w:r w:rsidR="00805E32" w:rsidRPr="00687B29">
              <w:rPr>
                <w:rFonts w:ascii="Arial" w:hAnsi="Arial" w:cs="Arial"/>
                <w:i/>
                <w:iCs/>
                <w:snapToGrid w:val="0"/>
                <w:sz w:val="22"/>
                <w:szCs w:val="22"/>
              </w:rPr>
              <w:t>X</w:t>
            </w:r>
            <w:r w:rsidR="00277403" w:rsidRPr="00687B29">
              <w:rPr>
                <w:rFonts w:ascii="Arial" w:hAnsi="Arial" w:cs="Arial"/>
                <w:i/>
                <w:iCs/>
                <w:snapToGrid w:val="0"/>
                <w:sz w:val="22"/>
                <w:szCs w:val="22"/>
              </w:rPr>
              <w:t>.</w:t>
            </w:r>
            <w:r w:rsidRPr="00687B29">
              <w:rPr>
                <w:rFonts w:ascii="Arial" w:hAnsi="Arial" w:cs="Arial"/>
                <w:snapToGrid w:val="0"/>
                <w:sz w:val="22"/>
                <w:szCs w:val="22"/>
              </w:rPr>
              <w:t>) naplňovaných za 1.</w:t>
            </w:r>
            <w:r w:rsidR="00803BAC" w:rsidRPr="00687B29">
              <w:rPr>
                <w:rFonts w:ascii="Arial" w:hAnsi="Arial" w:cs="Arial"/>
                <w:snapToGrid w:val="0"/>
                <w:sz w:val="22"/>
                <w:szCs w:val="22"/>
              </w:rPr>
              <w:t> </w:t>
            </w:r>
            <w:r w:rsidRPr="00687B29">
              <w:rPr>
                <w:rFonts w:ascii="Arial" w:hAnsi="Arial" w:cs="Arial"/>
                <w:snapToGrid w:val="0"/>
                <w:sz w:val="22"/>
                <w:szCs w:val="22"/>
              </w:rPr>
              <w:t>rok udržitelnosti je jejich udržení zkoumáno až od 2. roku udržitelnosti</w:t>
            </w:r>
            <w:r w:rsidR="00D74B9E" w:rsidRPr="00687B29">
              <w:rPr>
                <w:rFonts w:ascii="Arial" w:hAnsi="Arial" w:cs="Arial"/>
                <w:snapToGrid w:val="0"/>
                <w:sz w:val="22"/>
                <w:szCs w:val="22"/>
              </w:rPr>
              <w:t xml:space="preserve"> a je postupováno vždy dle bodu b)</w:t>
            </w:r>
            <w:r w:rsidRPr="00687B29">
              <w:rPr>
                <w:rFonts w:ascii="Arial" w:hAnsi="Arial" w:cs="Arial"/>
                <w:snapToGrid w:val="0"/>
                <w:sz w:val="22"/>
                <w:szCs w:val="22"/>
              </w:rPr>
              <w:t>.</w:t>
            </w:r>
          </w:p>
          <w:p w14:paraId="52A97C33" w14:textId="2E0CF6BC" w:rsidR="009132E6" w:rsidRPr="00687B29" w:rsidRDefault="009132E6"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rPr>
              <w:t>Udržování vyšší</w:t>
            </w:r>
            <w:r w:rsidR="003950CF" w:rsidRPr="00687B29">
              <w:rPr>
                <w:rStyle w:val="Znakapoznpodarou"/>
                <w:rFonts w:ascii="Arial" w:hAnsi="Arial" w:cs="Arial"/>
                <w:snapToGrid w:val="0"/>
                <w:sz w:val="22"/>
                <w:szCs w:val="22"/>
              </w:rPr>
              <w:footnoteReference w:id="18"/>
            </w:r>
            <w:r w:rsidRPr="00687B29">
              <w:rPr>
                <w:rFonts w:ascii="Arial" w:hAnsi="Arial" w:cs="Arial"/>
                <w:snapToGrid w:val="0"/>
                <w:sz w:val="22"/>
                <w:szCs w:val="22"/>
              </w:rPr>
              <w:t xml:space="preserve"> než cílové hodnoty či další zlepšení dosažené hodnoty </w:t>
            </w:r>
            <w:r w:rsidR="00502AD2" w:rsidRPr="00687B29">
              <w:rPr>
                <w:rFonts w:ascii="Arial" w:hAnsi="Arial" w:cs="Arial"/>
                <w:snapToGrid w:val="0"/>
                <w:sz w:val="22"/>
                <w:szCs w:val="22"/>
              </w:rPr>
              <w:t xml:space="preserve">k Rozhodnému datu </w:t>
            </w:r>
            <w:r w:rsidRPr="00687B29">
              <w:rPr>
                <w:rFonts w:ascii="Arial" w:hAnsi="Arial" w:cs="Arial"/>
                <w:snapToGrid w:val="0"/>
                <w:sz w:val="22"/>
                <w:szCs w:val="22"/>
              </w:rPr>
              <w:t>v době udržitelnosti nepodléhá finanční opravě.</w:t>
            </w:r>
            <w:r w:rsidRPr="00687B29">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3362DC9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lastRenderedPageBreak/>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126075">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1A844C1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A2C1EE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126075">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19A9ADE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Příjemce je povinen při výběru dodavatele pro plnění veřejné zakázky zajistit soulad s § 4b zákona č. 159/2006 </w:t>
            </w:r>
            <w:r w:rsidRPr="00BF657C">
              <w:rPr>
                <w:rFonts w:ascii="Arial" w:hAnsi="Arial" w:cs="Arial"/>
                <w:sz w:val="22"/>
                <w:szCs w:val="22"/>
              </w:rPr>
              <w:lastRenderedPageBreak/>
              <w:t>Sb., o střetu zájmů, ve znění pozdějších předpisů.</w:t>
            </w:r>
          </w:p>
        </w:tc>
        <w:tc>
          <w:tcPr>
            <w:tcW w:w="4534" w:type="dxa"/>
          </w:tcPr>
          <w:p w14:paraId="14000BE1" w14:textId="1D813CA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020196D0"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24CD690D"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126075">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3A29DFB"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126075">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10935E4F"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87B29">
        <w:rPr>
          <w:rFonts w:ascii="Arial" w:hAnsi="Arial" w:cs="Arial"/>
          <w:b/>
          <w:i/>
          <w:snapToGrid w:val="0"/>
          <w:sz w:val="22"/>
          <w:szCs w:val="22"/>
        </w:rPr>
        <w:t>Veřejná podpora</w:t>
      </w:r>
    </w:p>
    <w:p w14:paraId="1AFF0B1E" w14:textId="170F6BD2" w:rsidR="00053ED5" w:rsidRPr="00053ED5" w:rsidRDefault="00053ED5" w:rsidP="00053ED5">
      <w:pPr>
        <w:pStyle w:val="Zkladntext"/>
        <w:numPr>
          <w:ilvl w:val="0"/>
          <w:numId w:val="31"/>
        </w:numPr>
        <w:spacing w:before="120" w:after="120" w:line="271" w:lineRule="auto"/>
        <w:jc w:val="both"/>
        <w:rPr>
          <w:rFonts w:ascii="Arial" w:hAnsi="Arial" w:cs="Arial"/>
          <w:b w:val="0"/>
          <w:i w:val="0"/>
          <w:sz w:val="22"/>
          <w:szCs w:val="22"/>
        </w:rPr>
      </w:pPr>
      <w:r w:rsidRPr="00053ED5">
        <w:rPr>
          <w:rFonts w:ascii="Arial" w:hAnsi="Arial" w:cs="Arial"/>
          <w:b w:val="0"/>
          <w:i w:val="0"/>
          <w:sz w:val="22"/>
          <w:szCs w:val="22"/>
        </w:rPr>
        <w:t xml:space="preserve">Dotace je udělena v souladu s nařízením Komise (EU) </w:t>
      </w:r>
      <w:r w:rsidR="005A1907">
        <w:rPr>
          <w:rFonts w:ascii="Arial" w:hAnsi="Arial" w:cs="Arial"/>
          <w:b w:val="0"/>
          <w:i w:val="0"/>
          <w:sz w:val="22"/>
          <w:szCs w:val="22"/>
        </w:rPr>
        <w:t xml:space="preserve">2023/2831 </w:t>
      </w:r>
      <w:r w:rsidRPr="00053ED5">
        <w:rPr>
          <w:rFonts w:ascii="Arial" w:hAnsi="Arial" w:cs="Arial"/>
          <w:b w:val="0"/>
          <w:i w:val="0"/>
          <w:sz w:val="22"/>
          <w:szCs w:val="22"/>
        </w:rPr>
        <w:t xml:space="preserve">ze dne </w:t>
      </w:r>
      <w:r w:rsidR="005A1907">
        <w:rPr>
          <w:rFonts w:ascii="Arial" w:hAnsi="Arial" w:cs="Arial"/>
          <w:b w:val="0"/>
          <w:i w:val="0"/>
          <w:sz w:val="22"/>
          <w:szCs w:val="22"/>
        </w:rPr>
        <w:t>13</w:t>
      </w:r>
      <w:r w:rsidRPr="00053ED5">
        <w:rPr>
          <w:rFonts w:ascii="Arial" w:hAnsi="Arial" w:cs="Arial"/>
          <w:b w:val="0"/>
          <w:i w:val="0"/>
          <w:sz w:val="22"/>
          <w:szCs w:val="22"/>
        </w:rPr>
        <w:t xml:space="preserve">. prosince </w:t>
      </w:r>
      <w:r w:rsidR="005A1907">
        <w:rPr>
          <w:rFonts w:ascii="Arial" w:hAnsi="Arial" w:cs="Arial"/>
          <w:b w:val="0"/>
          <w:i w:val="0"/>
          <w:sz w:val="22"/>
          <w:szCs w:val="22"/>
        </w:rPr>
        <w:t>2023</w:t>
      </w:r>
      <w:r w:rsidRPr="00053ED5">
        <w:rPr>
          <w:rFonts w:ascii="Arial" w:hAnsi="Arial" w:cs="Arial"/>
          <w:b w:val="0"/>
          <w:i w:val="0"/>
          <w:sz w:val="22"/>
          <w:szCs w:val="22"/>
        </w:rPr>
        <w:t xml:space="preserve"> o použití článku 107 a 108 S</w:t>
      </w:r>
      <w:r w:rsidR="005A1907">
        <w:rPr>
          <w:rFonts w:ascii="Arial" w:hAnsi="Arial" w:cs="Arial"/>
          <w:b w:val="0"/>
          <w:i w:val="0"/>
          <w:sz w:val="22"/>
          <w:szCs w:val="22"/>
        </w:rPr>
        <w:t xml:space="preserve">mlouvy o fungování Evropské unie </w:t>
      </w:r>
      <w:r w:rsidRPr="00053ED5">
        <w:rPr>
          <w:rFonts w:ascii="Arial" w:hAnsi="Arial" w:cs="Arial"/>
          <w:b w:val="0"/>
          <w:i w:val="0"/>
          <w:sz w:val="22"/>
          <w:szCs w:val="22"/>
        </w:rPr>
        <w:t>na podporu de</w:t>
      </w:r>
      <w:r w:rsidR="00046F73">
        <w:rPr>
          <w:rFonts w:ascii="Arial" w:hAnsi="Arial" w:cs="Arial"/>
          <w:b w:val="0"/>
          <w:i w:val="0"/>
          <w:sz w:val="22"/>
          <w:szCs w:val="22"/>
        </w:rPr>
        <w:t> </w:t>
      </w:r>
      <w:r w:rsidRPr="00053ED5">
        <w:rPr>
          <w:rFonts w:ascii="Arial" w:hAnsi="Arial" w:cs="Arial"/>
          <w:b w:val="0"/>
          <w:i w:val="0"/>
          <w:sz w:val="22"/>
          <w:szCs w:val="22"/>
        </w:rPr>
        <w:t>minimis.</w:t>
      </w:r>
    </w:p>
    <w:p w14:paraId="455A3126" w14:textId="4FF982D9" w:rsidR="00053ED5" w:rsidRPr="00053ED5" w:rsidRDefault="00053ED5" w:rsidP="00053ED5">
      <w:pPr>
        <w:pStyle w:val="Zkladntext"/>
        <w:numPr>
          <w:ilvl w:val="0"/>
          <w:numId w:val="31"/>
        </w:numPr>
        <w:spacing w:before="120" w:after="120" w:line="271" w:lineRule="auto"/>
        <w:jc w:val="both"/>
        <w:rPr>
          <w:rFonts w:ascii="Arial" w:hAnsi="Arial" w:cs="Arial"/>
          <w:b w:val="0"/>
          <w:i w:val="0"/>
          <w:sz w:val="22"/>
          <w:szCs w:val="22"/>
        </w:rPr>
      </w:pPr>
      <w:r w:rsidRPr="00053ED5">
        <w:rPr>
          <w:rFonts w:ascii="Arial" w:hAnsi="Arial" w:cs="Arial"/>
          <w:b w:val="0"/>
          <w:i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301C61F0" w14:textId="65E07079" w:rsidR="00053ED5" w:rsidRPr="00053ED5" w:rsidRDefault="00053ED5" w:rsidP="00053ED5">
      <w:pPr>
        <w:pStyle w:val="Zkladntext"/>
        <w:numPr>
          <w:ilvl w:val="0"/>
          <w:numId w:val="31"/>
        </w:numPr>
        <w:spacing w:before="120" w:after="120" w:line="271" w:lineRule="auto"/>
        <w:jc w:val="both"/>
        <w:rPr>
          <w:rFonts w:ascii="Arial" w:hAnsi="Arial" w:cs="Arial"/>
          <w:b w:val="0"/>
          <w:i w:val="0"/>
          <w:sz w:val="22"/>
          <w:szCs w:val="22"/>
        </w:rPr>
      </w:pPr>
      <w:r w:rsidRPr="00053ED5">
        <w:rPr>
          <w:rFonts w:ascii="Arial" w:hAnsi="Arial" w:cs="Arial"/>
          <w:b w:val="0"/>
          <w:i w:val="0"/>
          <w:sz w:val="22"/>
          <w:szCs w:val="22"/>
        </w:rPr>
        <w:t>Příjemce dotace bere na vědomí, že Evropská komise může uložit příjemci navrácení veřejné podpory spolu s příslušným úrokem zpět poskytovateli, pokud shledá, že</w:t>
      </w:r>
      <w:r w:rsidR="00126075">
        <w:rPr>
          <w:rFonts w:ascii="Arial" w:hAnsi="Arial" w:cs="Arial"/>
          <w:b w:val="0"/>
          <w:i w:val="0"/>
          <w:sz w:val="22"/>
          <w:szCs w:val="22"/>
        </w:rPr>
        <w:t> </w:t>
      </w:r>
      <w:r w:rsidRPr="00053ED5">
        <w:rPr>
          <w:rFonts w:ascii="Arial" w:hAnsi="Arial" w:cs="Arial"/>
          <w:b w:val="0"/>
          <w:i w:val="0"/>
          <w:sz w:val="22"/>
          <w:szCs w:val="22"/>
        </w:rPr>
        <w:t>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3D694CE"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4B53F7">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3642B1E5" w:rsidR="00103969" w:rsidRDefault="00103969" w:rsidP="00103969">
      <w:pPr>
        <w:widowControl w:val="0"/>
        <w:spacing w:after="120" w:line="264" w:lineRule="auto"/>
        <w:ind w:left="357"/>
        <w:jc w:val="both"/>
        <w:rPr>
          <w:rFonts w:ascii="Arial" w:hAnsi="Arial" w:cs="Arial"/>
          <w:snapToGrid w:val="0"/>
          <w:sz w:val="22"/>
          <w:szCs w:val="22"/>
        </w:rPr>
      </w:pPr>
    </w:p>
    <w:p w14:paraId="37AF6899" w14:textId="77777777" w:rsidR="00232D77" w:rsidRPr="00EE7B0F" w:rsidRDefault="00232D77"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425003">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5003">
        <w:trPr>
          <w:trHeight w:val="283"/>
        </w:trPr>
        <w:tc>
          <w:tcPr>
            <w:tcW w:w="1814" w:type="dxa"/>
            <w:tcBorders>
              <w:top w:val="nil"/>
              <w:left w:val="single" w:sz="4" w:space="0" w:color="auto"/>
              <w:bottom w:val="nil"/>
              <w:right w:val="single" w:sz="4" w:space="0" w:color="auto"/>
            </w:tcBorders>
            <w:hideMark/>
          </w:tcPr>
          <w:p w14:paraId="6D191B12" w14:textId="31DF88A4" w:rsidR="00804B4B" w:rsidRPr="00804B4B" w:rsidRDefault="00804B4B" w:rsidP="00D85842">
            <w:pPr>
              <w:rPr>
                <w:rFonts w:ascii="Arial" w:hAnsi="Arial" w:cs="Arial"/>
                <w:sz w:val="22"/>
                <w:szCs w:val="22"/>
              </w:rPr>
            </w:pPr>
            <w:r w:rsidRPr="00804B4B">
              <w:rPr>
                <w:rFonts w:ascii="Arial" w:hAnsi="Arial" w:cs="Arial"/>
                <w:sz w:val="22"/>
                <w:szCs w:val="22"/>
              </w:rPr>
              <w:t>E</w:t>
            </w:r>
            <w:r w:rsidR="00425003">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3092217D"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425003">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5003">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5003">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5003">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5003">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4B53F7">
      <w:footerReference w:type="default" r:id="rId34"/>
      <w:footerReference w:type="first" r:id="rId35"/>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2E7D9" w14:textId="77777777" w:rsidR="007E43B5" w:rsidRDefault="007E43B5">
      <w:r>
        <w:separator/>
      </w:r>
    </w:p>
  </w:endnote>
  <w:endnote w:type="continuationSeparator" w:id="0">
    <w:p w14:paraId="3EBD7553" w14:textId="77777777" w:rsidR="007E43B5" w:rsidRDefault="007E43B5">
      <w:r>
        <w:continuationSeparator/>
      </w:r>
    </w:p>
  </w:endnote>
  <w:endnote w:type="continuationNotice" w:id="1">
    <w:p w14:paraId="20CA8A6A" w14:textId="77777777" w:rsidR="007E43B5" w:rsidRDefault="007E43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2276201"/>
      <w:docPartObj>
        <w:docPartGallery w:val="Page Numbers (Bottom of Page)"/>
        <w:docPartUnique/>
      </w:docPartObj>
    </w:sdtPr>
    <w:sdtEndPr/>
    <w:sdtContent>
      <w:p w14:paraId="5BB158D5" w14:textId="532CD813" w:rsidR="004B53F7" w:rsidRDefault="004B53F7">
        <w:pPr>
          <w:pStyle w:val="Zpat"/>
          <w:jc w:val="center"/>
        </w:pPr>
        <w:r>
          <w:t xml:space="preserve">Strana </w:t>
        </w:r>
        <w:r>
          <w:fldChar w:fldCharType="begin"/>
        </w:r>
        <w:r>
          <w:instrText>PAGE   \* MERGEFORMAT</w:instrText>
        </w:r>
        <w:r>
          <w:fldChar w:fldCharType="separate"/>
        </w:r>
        <w:r>
          <w:t>2</w:t>
        </w:r>
        <w:r>
          <w:fldChar w:fldCharType="end"/>
        </w:r>
        <w:r>
          <w:t xml:space="preserve"> ze </w:t>
        </w:r>
        <w:r w:rsidR="00046F73">
          <w:t>18</w:t>
        </w:r>
      </w:p>
    </w:sdtContent>
  </w:sdt>
  <w:p w14:paraId="1F0F7C35" w14:textId="770A33B4" w:rsidR="00755826" w:rsidRDefault="00755826">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7F56A" w14:textId="77777777" w:rsidR="007E43B5" w:rsidRDefault="007E43B5">
      <w:r>
        <w:separator/>
      </w:r>
    </w:p>
  </w:footnote>
  <w:footnote w:type="continuationSeparator" w:id="0">
    <w:p w14:paraId="3BAC07F4" w14:textId="77777777" w:rsidR="007E43B5" w:rsidRDefault="007E43B5">
      <w:r>
        <w:continuationSeparator/>
      </w:r>
    </w:p>
  </w:footnote>
  <w:footnote w:type="continuationNotice" w:id="1">
    <w:p w14:paraId="62FD6488" w14:textId="77777777" w:rsidR="007E43B5" w:rsidRDefault="007E43B5"/>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0EFD234A"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12607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r w:rsidRPr="0042247B">
        <w:rPr>
          <w:rFonts w:ascii="Arial" w:hAnsi="Arial" w:cs="Arial"/>
          <w:sz w:val="18"/>
          <w:szCs w:val="18"/>
        </w:rPr>
        <w:t>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r w:rsidRPr="0042247B">
        <w:rPr>
          <w:rFonts w:ascii="Arial" w:hAnsi="Arial" w:cs="Arial"/>
          <w:sz w:val="18"/>
          <w:szCs w:val="18"/>
        </w:rPr>
        <w:t>stačí popsat ve zprávě o realizaci projektu / zprávě o udržitelnosti projektu.</w:t>
      </w:r>
    </w:p>
  </w:footnote>
  <w:footnote w:id="10">
    <w:p w14:paraId="7B113C38" w14:textId="48A3CEA6"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126075">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3A2437FA"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12607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r>
        <w:rPr>
          <w:rFonts w:ascii="Arial" w:hAnsi="Arial" w:cs="Arial"/>
          <w:sz w:val="18"/>
          <w:szCs w:val="18"/>
        </w:rPr>
        <w:t>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294D34E9"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r w:rsidRPr="0042247B">
        <w:rPr>
          <w:rFonts w:ascii="Arial" w:hAnsi="Arial" w:cs="Arial"/>
          <w:sz w:val="18"/>
          <w:szCs w:val="18"/>
        </w:rPr>
        <w:t>10a) a 10b) se netýká vztahů mezi obcí (resp. svazkem obcí) /krajem a jí/jím zřízenou či</w:t>
      </w:r>
      <w:r w:rsidR="00126075">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48368855">
    <w:abstractNumId w:val="20"/>
  </w:num>
  <w:num w:numId="2" w16cid:durableId="1404990093">
    <w:abstractNumId w:val="29"/>
  </w:num>
  <w:num w:numId="3" w16cid:durableId="1006445826">
    <w:abstractNumId w:val="2"/>
  </w:num>
  <w:num w:numId="4" w16cid:durableId="1618414773">
    <w:abstractNumId w:val="8"/>
  </w:num>
  <w:num w:numId="5" w16cid:durableId="3554600">
    <w:abstractNumId w:val="13"/>
  </w:num>
  <w:num w:numId="6" w16cid:durableId="1893542822">
    <w:abstractNumId w:val="19"/>
  </w:num>
  <w:num w:numId="7" w16cid:durableId="565188628">
    <w:abstractNumId w:val="7"/>
  </w:num>
  <w:num w:numId="8" w16cid:durableId="450906357">
    <w:abstractNumId w:val="25"/>
  </w:num>
  <w:num w:numId="9" w16cid:durableId="37704923">
    <w:abstractNumId w:val="32"/>
  </w:num>
  <w:num w:numId="10" w16cid:durableId="1357851776">
    <w:abstractNumId w:val="28"/>
  </w:num>
  <w:num w:numId="11" w16cid:durableId="1762021007">
    <w:abstractNumId w:val="9"/>
  </w:num>
  <w:num w:numId="12" w16cid:durableId="2114200803">
    <w:abstractNumId w:val="11"/>
  </w:num>
  <w:num w:numId="13" w16cid:durableId="497580223">
    <w:abstractNumId w:val="34"/>
  </w:num>
  <w:num w:numId="14" w16cid:durableId="52705046">
    <w:abstractNumId w:val="30"/>
  </w:num>
  <w:num w:numId="15" w16cid:durableId="273292195">
    <w:abstractNumId w:val="14"/>
  </w:num>
  <w:num w:numId="16" w16cid:durableId="1662461709">
    <w:abstractNumId w:val="21"/>
  </w:num>
  <w:num w:numId="17" w16cid:durableId="637999094">
    <w:abstractNumId w:val="5"/>
  </w:num>
  <w:num w:numId="18" w16cid:durableId="1410272766">
    <w:abstractNumId w:val="16"/>
  </w:num>
  <w:num w:numId="19" w16cid:durableId="1260485045">
    <w:abstractNumId w:val="6"/>
  </w:num>
  <w:num w:numId="20" w16cid:durableId="703019374">
    <w:abstractNumId w:val="17"/>
  </w:num>
  <w:num w:numId="21" w16cid:durableId="707990209">
    <w:abstractNumId w:val="18"/>
  </w:num>
  <w:num w:numId="22" w16cid:durableId="202057734">
    <w:abstractNumId w:val="15"/>
  </w:num>
  <w:num w:numId="23" w16cid:durableId="1141000792">
    <w:abstractNumId w:val="24"/>
  </w:num>
  <w:num w:numId="24" w16cid:durableId="1952588466">
    <w:abstractNumId w:val="3"/>
  </w:num>
  <w:num w:numId="25" w16cid:durableId="1552383174">
    <w:abstractNumId w:val="1"/>
  </w:num>
  <w:num w:numId="26" w16cid:durableId="1508399708">
    <w:abstractNumId w:val="27"/>
  </w:num>
  <w:num w:numId="27" w16cid:durableId="1206452807">
    <w:abstractNumId w:val="22"/>
  </w:num>
  <w:num w:numId="28" w16cid:durableId="1784496844">
    <w:abstractNumId w:val="10"/>
  </w:num>
  <w:num w:numId="29" w16cid:durableId="2040473036">
    <w:abstractNumId w:val="26"/>
  </w:num>
  <w:num w:numId="30" w16cid:durableId="1788353833">
    <w:abstractNumId w:val="33"/>
  </w:num>
  <w:num w:numId="31" w16cid:durableId="2024238630">
    <w:abstractNumId w:val="23"/>
  </w:num>
  <w:num w:numId="32" w16cid:durableId="1558976538">
    <w:abstractNumId w:val="0"/>
  </w:num>
  <w:num w:numId="33" w16cid:durableId="1868516982">
    <w:abstractNumId w:val="12"/>
  </w:num>
  <w:num w:numId="34" w16cid:durableId="1597980661">
    <w:abstractNumId w:val="31"/>
  </w:num>
  <w:num w:numId="35" w16cid:durableId="996542309">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6F73"/>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3ED5"/>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299B"/>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6075"/>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47"/>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D77"/>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3C4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958"/>
    <w:rsid w:val="00424F69"/>
    <w:rsid w:val="00425003"/>
    <w:rsid w:val="0042532B"/>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B2E"/>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094"/>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3F7"/>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907"/>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81F"/>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17D70"/>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87B29"/>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2D4"/>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3D5E"/>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3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5E32"/>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3EB"/>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2E82"/>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819"/>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AD4"/>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243"/>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39F"/>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93A"/>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152B"/>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419"/>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3F74"/>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31"/>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228"/>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s:customData xmlns="http://www.wps.cn/officeDocument/2013/wpsCustomData" xmlns:s="http://www.wps.cn/officeDocument/2013/wpsCustomData">
  <customSectProps>
    <customSectPr/>
  </customSectProps>
</s:customDat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2.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3.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4.xml><?xml version="1.0" encoding="utf-8"?>
<ds:datastoreItem xmlns:ds="http://schemas.openxmlformats.org/officeDocument/2006/customXml" ds:itemID="{F76028B4-EDAB-4C2F-9D57-4B5F9E5C6E85}">
  <ds:schemaRefs>
    <ds:schemaRef ds:uri="http://schemas.openxmlformats.org/officeDocument/2006/bibliography"/>
  </ds:schemaRefs>
</ds:datastoreItem>
</file>

<file path=customXml/itemProps15.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6.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7.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8.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1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0.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1.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22.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3.xml><?xml version="1.0" encoding="utf-8"?>
<ds:datastoreItem xmlns:ds="http://schemas.openxmlformats.org/officeDocument/2006/customXml" ds:itemID="{C061D44A-7D74-49A1-9D05-B2A20A9699D7}">
  <ds:schemaRefs>
    <ds:schemaRef ds:uri="http://schemas.openxmlformats.org/officeDocument/2006/bibliography"/>
  </ds:schemaRefs>
</ds:datastoreItem>
</file>

<file path=customXml/itemProps24.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5.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6.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3.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4.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5.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7.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8.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9.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2865</TotalTime>
  <Pages>19</Pages>
  <Words>4196</Words>
  <Characters>24173</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35</cp:revision>
  <cp:lastPrinted>2022-07-27T10:25:00Z</cp:lastPrinted>
  <dcterms:created xsi:type="dcterms:W3CDTF">2022-08-23T11:25:00Z</dcterms:created>
  <dcterms:modified xsi:type="dcterms:W3CDTF">2024-04-08T12:40:00Z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